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417</w:t>
      </w:r>
    </w:p>
    <w:p>
      <w:r>
        <w:t>Bundesgericht (BGE), 2008-04-08, DE</w:t>
      </w:r>
    </w:p>
    <w:p>
      <w:r>
        <w:rPr>
          <w:b/>
        </w:rPr>
        <w:t xml:space="preserve">Quelle: </w:t>
      </w:r>
      <w:r>
        <w:t>https://mcp.opencaselaw.ch/entscheid/bge_134 III 417</w:t>
      </w:r>
    </w:p>
    <w:p>
      <w:r>
        <w:t>FR: ATF 134 III 417</w:t>
      </w:r>
    </w:p>
    <w:p>
      <w:r>
        <w:t>IT: DTF 134 III 417</w:t>
      </w:r>
    </w:p>
    <w:p>
      <w:pPr>
        <w:pStyle w:val="Heading2"/>
      </w:pPr>
      <w:r>
        <w:t>Regeste</w:t>
      </w:r>
    </w:p>
    <w:p>
      <w:r>
        <w:t>Regeste Art. 53 SchKG, Art. 932 Abs. 1 OR; perpetuatio fori bei der Konkurseröffnung ohne vorgängige Betreibung; massgeblicher Zeitpunkt. Bei der Konkurseröffnung ohne vorgängige Betreibung führt die Sitzverlegung einer im Handelsregister eingetragenen Gesellschaft nur dann zu einer Änderung der örtlichen Zuständigkeit des Konkursrichters, wenn der bisherige Sitz im Zeitpunkt der Zustellung der Vorladung zur Konkursverhandlung im Handelsregister gelöscht worden ist. Massgebend ist dabei das Datum des Tagebucheintrags der Löschung, nicht die Uhrzeit der Einschreibung (E. 4).</w:t>
      </w:r>
    </w:p>
    <w:p>
      <w:pPr>
        <w:pStyle w:val="Heading2"/>
      </w:pPr>
      <w:r>
        <w:t>Erwägungen</w:t>
      </w:r>
    </w:p>
    <w:p>
      <w:r>
        <w:rPr>
          <w:b/>
        </w:rPr>
        <w:t>E. 4</w:t>
      </w:r>
    </w:p>
    <w:p>
      <w:r>
        <w:t>Die im Handelsregister eingetragenen juristischen Personen und Gesellschaften sind an ihrem Sitze zu betreiben ( Art. 46 Abs. 2 SchKG ). Verändert der Schuldner seinen Wohnsitz, nachdem ihm die Konkursandrohung zugestellt worden ist, so wird die Betreibung gemäss Art. 53 SchKG am bisherigen Orte fortgesetzt (perpetuatio fori). Diese Bestimmung ist auch auf die Konkurseröffnung ohne vorgängige Betreibung anwendbar. Der Richter, der im Zeitpunkt der Zustellung der Vorladung zur Konkursverhandlung an den Schuldner örtlich zuständig ist, bleibt es auch dann, wenn dieser in der Folge sein Domizil wechselt ( BGE 121 III 13 E. 1b S. 14). Eine Sitzverlegung einer im Handelsregister eingetragenen Gesellschaft führt in diesem Fall nur dann zu einer Änderung der örtlichen BGE 134 III 417 S. 419 Zuständigkeit des Konkursrichters, wenn der bisherige Sitz im Zeitpunkt der Zustellung der Vorladung zur Konkursverhandlung im Handelsregister gelöscht worden ist (vgl. BGE 123 III 137 E. 3a S. 138 mit Hinweis auf BGE 116 III 1 E. 2 S. 4). Für die Bestimmung des Zeitpunkts der Eintragung dieser Löschung ist deren Einschreibung in das Tagebuch massgebend ( Art. 932 Abs. 1 OR ). Wie die Beschwerdeführerin zutreffend ausführt, wird die Uhrzeit einer Eintragung im Handelsregister nicht festgehalten (ECKERT, Basler Kommentar, N. 18 zu Art. 932 OR ; KÜNG, Berner Kommentar, N. 138 zu Art. 932 OR ). Mit der Genehmigung durch das Eidgenössische Amt für das Handelsregister werden die Eintragungen im Handelsregister rückwirkend auf den Tag der Eintragung in das Tagebuch rechtswirksam (ECKERT, a.a.O., N. 19 zu Art. 932 OR ; so ausdrücklich Art. 34 der Handelsregisterverordnung vom 17. Oktober 2007 [HRegV; SR 221.411], welche auf das vorliegende Verfahren noch nicht anwendbar ist, vgl. Art. 173 Abs. 2 i.V.m. Art. 182 HRegV ). Im Interesse der Rechtssicherheit ist für die Wirksamkeit einer Eintragung daher auf das Datum des Tagebucheintrags abzustellen (ECKERT, a.a.O., N. 18 zu Art. 932 OR ). Die Uhrzeit der Einschreibung ist nicht massgeblich. Somit stösst die Argumentation der Beschwerdegegnerin ins Leere, die körperliche Eintragung im Handelsregister sei erst im Laufe des 8. August 2007 erfolgt und es könne nicht festgestellt werden, ob zuerst die Beschwerdeführerin im Handelsregister D. gelöscht oder ihr die Vorladung zur Konkursverhandlung zugestellt worden sei. Auch sprechen weder Gründe der Praktikabilität noch der Schutz der Gläubiger gegen einen Wechsel der örtlichen Zuständigkeit des Konkursgerichts. Sofern die Beschwerdeführerin tatsächlich ihren Sitz von A. nach B. verlegt hat, hat die Vorinstanz somit Bundesrecht verletzt, indem sie die Zuständigkeit des Konkursgerichts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